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21155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37107">
        <w:rPr>
          <w:rFonts w:ascii="Arial" w:hAnsi="Arial" w:cs="Arial"/>
          <w:b/>
          <w:sz w:val="20"/>
          <w:szCs w:val="20"/>
        </w:rPr>
        <w:t>Extraordinary General Mandate 2020</w:t>
      </w:r>
      <w:r w:rsidR="006B7694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11554">
        <w:rPr>
          <w:rFonts w:ascii="Arial" w:hAnsi="Arial" w:cs="Arial"/>
          <w:sz w:val="20"/>
          <w:szCs w:val="20"/>
        </w:rPr>
        <w:t>10 Sep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1554">
        <w:rPr>
          <w:rFonts w:ascii="Arial" w:hAnsi="Arial" w:cs="Arial"/>
          <w:sz w:val="20"/>
          <w:szCs w:val="20"/>
        </w:rPr>
        <w:t>Atesco</w:t>
      </w:r>
      <w:proofErr w:type="spellEnd"/>
      <w:r w:rsidR="00211554">
        <w:rPr>
          <w:rFonts w:ascii="Arial" w:hAnsi="Arial" w:cs="Arial"/>
          <w:sz w:val="20"/>
          <w:szCs w:val="20"/>
        </w:rPr>
        <w:t xml:space="preserve"> Industrial </w:t>
      </w:r>
      <w:proofErr w:type="spellStart"/>
      <w:r w:rsidR="00211554">
        <w:rPr>
          <w:rFonts w:ascii="Arial" w:hAnsi="Arial" w:cs="Arial"/>
          <w:sz w:val="20"/>
          <w:szCs w:val="20"/>
        </w:rPr>
        <w:t>Cartering</w:t>
      </w:r>
      <w:proofErr w:type="spellEnd"/>
      <w:r w:rsidR="00211554">
        <w:rPr>
          <w:rFonts w:ascii="Arial" w:hAnsi="Arial" w:cs="Arial"/>
          <w:sz w:val="20"/>
          <w:szCs w:val="20"/>
        </w:rPr>
        <w:t xml:space="preserve"> Joint Stock Company</w:t>
      </w:r>
      <w:r w:rsidR="00A37107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37107">
        <w:rPr>
          <w:rFonts w:ascii="Arial" w:hAnsi="Arial" w:cs="Arial"/>
          <w:sz w:val="20"/>
          <w:szCs w:val="20"/>
        </w:rPr>
        <w:t>extraordinary General Mandate 2020</w:t>
      </w:r>
      <w:r w:rsidR="00211554">
        <w:rPr>
          <w:rFonts w:ascii="Arial" w:hAnsi="Arial" w:cs="Arial"/>
          <w:sz w:val="20"/>
          <w:szCs w:val="20"/>
        </w:rPr>
        <w:t xml:space="preserve"> No.109/2020/NQ-DHDCD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11554" w:rsidRDefault="00A37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211554">
        <w:rPr>
          <w:rFonts w:ascii="Arial" w:hAnsi="Arial" w:cs="Arial"/>
          <w:sz w:val="20"/>
          <w:szCs w:val="20"/>
        </w:rPr>
        <w:t xml:space="preserve"> Approving that Chair of the Board of Directors will not hold the position of Manager</w:t>
      </w:r>
    </w:p>
    <w:p w:rsidR="00485D2E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107">
        <w:rPr>
          <w:rFonts w:ascii="Arial" w:hAnsi="Arial" w:cs="Arial"/>
          <w:sz w:val="20"/>
          <w:szCs w:val="20"/>
        </w:rPr>
        <w:t>The Extraordinary General Meeting of Shareholders in 2020 approved</w:t>
      </w:r>
      <w:r w:rsidR="00A37107" w:rsidRPr="00A37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Chair of the Board of Directors will not hold the position of Manager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Atesco</w:t>
      </w:r>
      <w:proofErr w:type="spellEnd"/>
      <w:r>
        <w:rPr>
          <w:rFonts w:ascii="Arial" w:hAnsi="Arial" w:cs="Arial"/>
          <w:sz w:val="20"/>
          <w:szCs w:val="20"/>
        </w:rPr>
        <w:t xml:space="preserve"> Industrial </w:t>
      </w:r>
      <w:proofErr w:type="spellStart"/>
      <w:r>
        <w:rPr>
          <w:rFonts w:ascii="Arial" w:hAnsi="Arial" w:cs="Arial"/>
          <w:sz w:val="20"/>
          <w:szCs w:val="20"/>
        </w:rPr>
        <w:t>Cartering</w:t>
      </w:r>
      <w:proofErr w:type="spellEnd"/>
      <w:r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>.</w:t>
      </w:r>
    </w:p>
    <w:p w:rsidR="00211554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Approval of some contents trading with individuals to search for investment opportunities for the company</w:t>
      </w:r>
    </w:p>
    <w:p w:rsidR="00211554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Approval of the change of the company’s headquarter</w:t>
      </w:r>
    </w:p>
    <w:p w:rsidR="00211554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107">
        <w:rPr>
          <w:rFonts w:ascii="Arial" w:hAnsi="Arial" w:cs="Arial"/>
          <w:sz w:val="20"/>
          <w:szCs w:val="20"/>
        </w:rPr>
        <w:t>The Extraordinary General Meeting of Shareholders in 2020 approved</w:t>
      </w:r>
      <w:r>
        <w:rPr>
          <w:rFonts w:ascii="Arial" w:hAnsi="Arial" w:cs="Arial"/>
          <w:sz w:val="20"/>
          <w:szCs w:val="20"/>
        </w:rPr>
        <w:t xml:space="preserve"> the change of the company’s headquarter, as follows:</w:t>
      </w:r>
    </w:p>
    <w:p w:rsidR="00211554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Current address of the headquarter: 6</w:t>
      </w:r>
      <w:r w:rsidRPr="00A261CE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Floor, Sky City Tower building, No. 88 Lang Ha Street, Lang Ha ward, Dong Da district, Hanoi.</w:t>
      </w:r>
    </w:p>
    <w:p w:rsidR="00211554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New </w:t>
      </w:r>
      <w:r>
        <w:rPr>
          <w:rFonts w:ascii="Arial" w:hAnsi="Arial" w:cs="Arial"/>
          <w:sz w:val="20"/>
          <w:szCs w:val="20"/>
        </w:rPr>
        <w:t xml:space="preserve">address of the </w:t>
      </w:r>
      <w:proofErr w:type="gramStart"/>
      <w:r>
        <w:rPr>
          <w:rFonts w:ascii="Arial" w:hAnsi="Arial" w:cs="Arial"/>
          <w:sz w:val="20"/>
          <w:szCs w:val="20"/>
        </w:rPr>
        <w:t>headquarter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Long Ba village, Long </w:t>
      </w:r>
      <w:proofErr w:type="spellStart"/>
      <w:r>
        <w:rPr>
          <w:rFonts w:ascii="Arial" w:hAnsi="Arial" w:cs="Arial"/>
          <w:sz w:val="20"/>
          <w:szCs w:val="20"/>
        </w:rPr>
        <w:t>Xuyen</w:t>
      </w:r>
      <w:proofErr w:type="spellEnd"/>
      <w:r>
        <w:rPr>
          <w:rFonts w:ascii="Arial" w:hAnsi="Arial" w:cs="Arial"/>
          <w:sz w:val="20"/>
          <w:szCs w:val="20"/>
        </w:rPr>
        <w:t xml:space="preserve"> commune,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Hanoi.</w:t>
      </w:r>
    </w:p>
    <w:p w:rsidR="00211554" w:rsidRDefault="002115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Approval of some amendments and supplements of the Company’s organizational and operational charter</w:t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831"/>
        <w:gridCol w:w="2947"/>
        <w:gridCol w:w="2947"/>
        <w:gridCol w:w="3181"/>
      </w:tblGrid>
      <w:tr w:rsidR="00211554" w:rsidTr="00211554">
        <w:trPr>
          <w:trHeight w:val="550"/>
        </w:trPr>
        <w:tc>
          <w:tcPr>
            <w:tcW w:w="831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947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Clause/Article</w:t>
            </w:r>
          </w:p>
        </w:tc>
        <w:tc>
          <w:tcPr>
            <w:tcW w:w="2947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content</w:t>
            </w:r>
          </w:p>
        </w:tc>
        <w:tc>
          <w:tcPr>
            <w:tcW w:w="3181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Amendments/supplements</w:t>
            </w:r>
          </w:p>
        </w:tc>
      </w:tr>
      <w:tr w:rsidR="00211554" w:rsidTr="00211554">
        <w:trPr>
          <w:trHeight w:val="526"/>
        </w:trPr>
        <w:tc>
          <w:tcPr>
            <w:tcW w:w="831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 3 Article 2</w:t>
            </w:r>
          </w:p>
        </w:tc>
        <w:tc>
          <w:tcPr>
            <w:tcW w:w="2947" w:type="dxa"/>
          </w:tcPr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Headquarter of the company:</w:t>
            </w:r>
          </w:p>
          <w:p w:rsidR="00211554" w:rsidRDefault="0021155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No.15A, Hang Than street,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ward, 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district, Hanoi</w:t>
            </w:r>
          </w:p>
        </w:tc>
        <w:tc>
          <w:tcPr>
            <w:tcW w:w="3181" w:type="dxa"/>
          </w:tcPr>
          <w:p w:rsidR="00211554" w:rsidRDefault="00A26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address of the company’s headquarter:</w:t>
            </w:r>
          </w:p>
          <w:p w:rsidR="00A261CE" w:rsidRDefault="00A26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Ba village, 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district, Hanoi.</w:t>
            </w:r>
          </w:p>
        </w:tc>
      </w:tr>
    </w:tbl>
    <w:p w:rsidR="00A37107" w:rsidRDefault="00A261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Article 5: </w:t>
      </w:r>
      <w:r w:rsidR="00A37107" w:rsidRPr="00A37107">
        <w:rPr>
          <w:rFonts w:ascii="Arial" w:hAnsi="Arial" w:cs="Arial"/>
          <w:sz w:val="20"/>
          <w:szCs w:val="20"/>
        </w:rPr>
        <w:t>This Resolution takes effect from the signing date</w:t>
      </w:r>
      <w:r>
        <w:rPr>
          <w:rFonts w:ascii="Arial" w:hAnsi="Arial" w:cs="Arial"/>
          <w:sz w:val="20"/>
          <w:szCs w:val="20"/>
        </w:rPr>
        <w:t xml:space="preserve">. </w:t>
      </w:r>
      <w:r w:rsidRPr="00A261CE">
        <w:rPr>
          <w:rFonts w:ascii="Arial" w:hAnsi="Arial" w:cs="Arial"/>
          <w:sz w:val="20"/>
          <w:szCs w:val="20"/>
        </w:rPr>
        <w:t>Board of Directors, Board of General Managers, line departments of the Company and related individuals are responsible for the implementation of this Board Resolution.</w:t>
      </w:r>
    </w:p>
    <w:sectPr w:rsidR="00A3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155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6307"/>
    <w:rsid w:val="00464C5F"/>
    <w:rsid w:val="0046656D"/>
    <w:rsid w:val="00467BC0"/>
    <w:rsid w:val="0047038B"/>
    <w:rsid w:val="00470844"/>
    <w:rsid w:val="00485D2E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133E0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261CE"/>
    <w:rsid w:val="00A34999"/>
    <w:rsid w:val="00A37107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633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2</cp:revision>
  <dcterms:created xsi:type="dcterms:W3CDTF">2020-09-15T07:50:00Z</dcterms:created>
  <dcterms:modified xsi:type="dcterms:W3CDTF">2020-09-15T07:50:00Z</dcterms:modified>
</cp:coreProperties>
</file>